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BE" w:rsidRDefault="00DA6CBE">
      <w:pPr>
        <w:tabs>
          <w:tab w:val="center" w:pos="4513"/>
          <w:tab w:val="right" w:pos="9026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:rsidR="00DA6CBE" w:rsidRDefault="001F6BE0">
      <w:pPr>
        <w:jc w:val="center"/>
        <w:rPr>
          <w:b/>
          <w:bCs/>
          <w:spacing w:val="-10"/>
          <w:kern w:val="28"/>
          <w:sz w:val="28"/>
          <w:szCs w:val="24"/>
        </w:rPr>
      </w:pPr>
      <w:r>
        <w:rPr>
          <w:rFonts w:ascii="HelveticaLT" w:hAnsi="HelveticaLT"/>
          <w:noProof/>
          <w:spacing w:val="-10"/>
          <w:kern w:val="28"/>
          <w:sz w:val="56"/>
          <w:szCs w:val="56"/>
          <w:lang w:eastAsia="lt-LT"/>
        </w:rPr>
        <w:drawing>
          <wp:inline distT="0" distB="0" distL="0" distR="0" wp14:anchorId="6C0454C1" wp14:editId="7D3473E9">
            <wp:extent cx="542290" cy="554990"/>
            <wp:effectExtent l="0" t="0" r="0" b="0"/>
            <wp:docPr id="2" name="Paveikslėlis 2" descr="Paveikslėlis, kuriame yra eskizas, piešimas, iliustracija, Linijinis piešima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eskizas, piešimas, iliustracija, Linijinis piešima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CBE" w:rsidRDefault="00DA6CBE">
      <w:pPr>
        <w:overflowPunct w:val="0"/>
        <w:jc w:val="center"/>
        <w:textAlignment w:val="baseline"/>
        <w:rPr>
          <w:szCs w:val="24"/>
        </w:rPr>
      </w:pPr>
    </w:p>
    <w:p w:rsidR="00DA6CBE" w:rsidRDefault="001F6BE0">
      <w:pPr>
        <w:jc w:val="center"/>
        <w:rPr>
          <w:spacing w:val="-10"/>
          <w:kern w:val="28"/>
          <w:sz w:val="28"/>
          <w:szCs w:val="24"/>
        </w:rPr>
      </w:pPr>
      <w:r>
        <w:rPr>
          <w:b/>
          <w:bCs/>
          <w:spacing w:val="-10"/>
          <w:kern w:val="28"/>
          <w:sz w:val="28"/>
          <w:szCs w:val="24"/>
        </w:rPr>
        <w:t>LIETUVOS RESPUBLIKOS ŠVIETIMO, MOKSLO IR SPORTO MINISTRAS</w:t>
      </w:r>
    </w:p>
    <w:p w:rsidR="00DA6CBE" w:rsidRDefault="00DA6CBE">
      <w:pPr>
        <w:overflowPunct w:val="0"/>
        <w:jc w:val="center"/>
        <w:textAlignment w:val="baseline"/>
        <w:rPr>
          <w:b/>
          <w:bCs/>
        </w:rPr>
      </w:pPr>
    </w:p>
    <w:p w:rsidR="00DA6CBE" w:rsidRDefault="00DA6CBE">
      <w:pPr>
        <w:rPr>
          <w:sz w:val="2"/>
          <w:szCs w:val="2"/>
        </w:rPr>
      </w:pPr>
    </w:p>
    <w:p w:rsidR="00DA6CBE" w:rsidRDefault="001F6BE0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1F6BE0" w:rsidRDefault="001F6BE0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DĖL 2025 METŲ BENDROJO PRIĖMIMO Į FORMALIOJO PROFESINIO MOKYMO PROGRAMAS TERMINŲ PATVIRTINIMO</w:t>
      </w:r>
    </w:p>
    <w:p w:rsidR="001F6BE0" w:rsidRDefault="001F6BE0">
      <w:pPr>
        <w:overflowPunct w:val="0"/>
        <w:jc w:val="center"/>
        <w:textAlignment w:val="baseline"/>
        <w:rPr>
          <w:caps/>
        </w:rPr>
      </w:pPr>
    </w:p>
    <w:p w:rsidR="00DA6CBE" w:rsidRDefault="001F6BE0">
      <w:pPr>
        <w:jc w:val="center"/>
        <w:rPr>
          <w:szCs w:val="24"/>
        </w:rPr>
      </w:pPr>
      <w:r>
        <w:rPr>
          <w:szCs w:val="24"/>
        </w:rPr>
        <w:t xml:space="preserve">2025 m. sausio 15 d. Nr. </w:t>
      </w:r>
      <w:r w:rsidRPr="001F6BE0">
        <w:rPr>
          <w:szCs w:val="24"/>
        </w:rPr>
        <w:t>V-31</w:t>
      </w:r>
    </w:p>
    <w:p w:rsidR="00DA6CBE" w:rsidRDefault="001F6BE0">
      <w:pPr>
        <w:overflowPunct w:val="0"/>
        <w:spacing w:line="254" w:lineRule="auto"/>
        <w:jc w:val="center"/>
        <w:textAlignment w:val="baseline"/>
        <w:rPr>
          <w:szCs w:val="24"/>
        </w:rPr>
      </w:pPr>
      <w:r>
        <w:rPr>
          <w:szCs w:val="24"/>
        </w:rPr>
        <w:t>Vilnius</w:t>
      </w:r>
    </w:p>
    <w:p w:rsidR="00DA6CBE" w:rsidRDefault="00DA6CBE">
      <w:pPr>
        <w:rPr>
          <w:sz w:val="2"/>
          <w:szCs w:val="2"/>
        </w:rPr>
      </w:pPr>
    </w:p>
    <w:p w:rsidR="00DA6CBE" w:rsidRDefault="00DA6CBE">
      <w:pPr>
        <w:overflowPunct w:val="0"/>
        <w:jc w:val="center"/>
        <w:textAlignment w:val="baseline"/>
      </w:pPr>
    </w:p>
    <w:p w:rsidR="00DA6CBE" w:rsidRDefault="00DA6CBE">
      <w:pPr>
        <w:rPr>
          <w:sz w:val="2"/>
          <w:szCs w:val="2"/>
        </w:rPr>
      </w:pPr>
    </w:p>
    <w:p w:rsidR="00DA6CBE" w:rsidRDefault="00DA6CBE">
      <w:pPr>
        <w:overflowPunct w:val="0"/>
        <w:jc w:val="center"/>
        <w:textAlignment w:val="baseline"/>
      </w:pPr>
    </w:p>
    <w:p w:rsidR="00DA6CBE" w:rsidRDefault="00DA6CBE">
      <w:pPr>
        <w:rPr>
          <w:sz w:val="2"/>
          <w:szCs w:val="2"/>
        </w:rPr>
      </w:pPr>
    </w:p>
    <w:p w:rsidR="00DA6CBE" w:rsidRDefault="001F6BE0">
      <w:pPr>
        <w:overflowPunct w:val="0"/>
        <w:spacing w:line="254" w:lineRule="auto"/>
        <w:ind w:firstLine="1247"/>
        <w:jc w:val="both"/>
        <w:textAlignment w:val="baseline"/>
        <w:rPr>
          <w:szCs w:val="24"/>
        </w:rPr>
      </w:pPr>
      <w:r>
        <w:rPr>
          <w:szCs w:val="24"/>
        </w:rPr>
        <w:t xml:space="preserve">Vadovaudamasi Priėmimo mokytis pagal </w:t>
      </w:r>
      <w:r>
        <w:rPr>
          <w:szCs w:val="24"/>
        </w:rPr>
        <w:t>formaliojo profesinio mokymo programas į profesinio mokymo įstaigas ir</w:t>
      </w:r>
      <w:r>
        <w:rPr>
          <w:szCs w:val="24"/>
          <w:shd w:val="clear" w:color="auto" w:fill="FFFFFF"/>
        </w:rPr>
        <w:t> kitas valstybines ar savivaldybių švietimo įstaigas </w:t>
      </w:r>
      <w:r>
        <w:rPr>
          <w:szCs w:val="24"/>
        </w:rPr>
        <w:t>tvarkos aprašo, patvirtinto Lietuvos Respublikos švietimo, mokslo ir sporto ministro 2017 m. gegužės 17 d. įsakymu Nr. V-373 „Dėl Pri</w:t>
      </w:r>
      <w:r>
        <w:rPr>
          <w:szCs w:val="24"/>
        </w:rPr>
        <w:t>ėmimo mokytis pagal formaliojo profesinio mokymo programas į profesinio mokymo įstaigas ir</w:t>
      </w:r>
      <w:r>
        <w:rPr>
          <w:szCs w:val="24"/>
          <w:shd w:val="clear" w:color="auto" w:fill="FFFFFF"/>
        </w:rPr>
        <w:t> kitas valstybines ar savivaldybių švietimo įstaigas </w:t>
      </w:r>
      <w:r>
        <w:rPr>
          <w:szCs w:val="24"/>
        </w:rPr>
        <w:t>tvarkos aprašo patvirtinimo“, 14 punktu,</w:t>
      </w:r>
    </w:p>
    <w:p w:rsidR="00DA6CBE" w:rsidRDefault="001F6BE0">
      <w:pPr>
        <w:rPr>
          <w:sz w:val="2"/>
          <w:szCs w:val="2"/>
        </w:rPr>
      </w:pPr>
    </w:p>
    <w:p w:rsidR="00DA6CBE" w:rsidRDefault="001F6BE0" w:rsidP="001F6BE0">
      <w:pPr>
        <w:overflowPunct w:val="0"/>
        <w:spacing w:line="254" w:lineRule="auto"/>
        <w:ind w:firstLine="124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pacing w:val="80"/>
          <w:szCs w:val="24"/>
        </w:rPr>
        <w:t>tvirtinu</w:t>
      </w:r>
      <w:r>
        <w:rPr>
          <w:color w:val="000000"/>
          <w:szCs w:val="24"/>
        </w:rPr>
        <w:t xml:space="preserve"> 2025 metų bendrojo priėmimo į formaliojo profesinio mokymo programas terminus (pridedama).</w:t>
      </w:r>
    </w:p>
    <w:p w:rsidR="001F6BE0" w:rsidRDefault="001F6BE0">
      <w:pPr>
        <w:overflowPunct w:val="0"/>
        <w:spacing w:line="254" w:lineRule="auto"/>
        <w:jc w:val="both"/>
        <w:textAlignment w:val="baseline"/>
      </w:pPr>
    </w:p>
    <w:p w:rsidR="001F6BE0" w:rsidRDefault="001F6BE0">
      <w:pPr>
        <w:overflowPunct w:val="0"/>
        <w:spacing w:line="254" w:lineRule="auto"/>
        <w:jc w:val="both"/>
        <w:textAlignment w:val="baseline"/>
      </w:pPr>
    </w:p>
    <w:p w:rsidR="001F6BE0" w:rsidRDefault="001F6BE0">
      <w:pPr>
        <w:overflowPunct w:val="0"/>
        <w:spacing w:line="254" w:lineRule="auto"/>
        <w:jc w:val="both"/>
        <w:textAlignment w:val="baseline"/>
      </w:pPr>
    </w:p>
    <w:p w:rsidR="00DA6CBE" w:rsidRDefault="001F6BE0" w:rsidP="001F6BE0">
      <w:pPr>
        <w:overflowPunct w:val="0"/>
        <w:spacing w:line="254" w:lineRule="auto"/>
        <w:jc w:val="both"/>
        <w:textAlignment w:val="baseline"/>
        <w:rPr>
          <w:sz w:val="2"/>
          <w:szCs w:val="2"/>
        </w:rPr>
      </w:pPr>
      <w:r>
        <w:rPr>
          <w:color w:val="000000"/>
          <w:szCs w:val="24"/>
        </w:rPr>
        <w:t>Švietimo, mokslo ir sporto ministrė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Raminta </w:t>
      </w:r>
      <w:proofErr w:type="spellStart"/>
      <w:r>
        <w:rPr>
          <w:color w:val="000000"/>
          <w:szCs w:val="24"/>
        </w:rPr>
        <w:t>Popovienė</w:t>
      </w:r>
      <w:proofErr w:type="spellEnd"/>
    </w:p>
    <w:p w:rsidR="00DA6CBE" w:rsidRDefault="001F6BE0">
      <w:pPr>
        <w:tabs>
          <w:tab w:val="center" w:pos="4513"/>
          <w:tab w:val="right" w:pos="9026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:rsidR="001F6BE0" w:rsidRDefault="001F6BE0" w:rsidP="001F6BE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3261"/>
        <w:sectPr w:rsidR="001F6B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7" w:footer="567" w:gutter="0"/>
          <w:pgNumType w:start="2"/>
          <w:cols w:space="1296"/>
          <w:titlePg/>
          <w:docGrid w:linePitch="360"/>
        </w:sectPr>
      </w:pPr>
    </w:p>
    <w:p w:rsidR="00DA6CBE" w:rsidRDefault="001F6BE0" w:rsidP="001F6BE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3261"/>
        <w:rPr>
          <w:szCs w:val="24"/>
        </w:rPr>
      </w:pPr>
      <w:r>
        <w:rPr>
          <w:szCs w:val="24"/>
        </w:rPr>
        <w:t>PATVIRTINTA</w:t>
      </w:r>
    </w:p>
    <w:p w:rsidR="001F6BE0" w:rsidRDefault="001F6BE0" w:rsidP="001F6BE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3261"/>
        <w:rPr>
          <w:szCs w:val="24"/>
        </w:rPr>
      </w:pPr>
      <w:r>
        <w:rPr>
          <w:szCs w:val="24"/>
        </w:rPr>
        <w:t xml:space="preserve">Lietuvos Respublikos švietimo, mokslo ir </w:t>
      </w:r>
      <w:r>
        <w:rPr>
          <w:szCs w:val="24"/>
        </w:rPr>
        <w:t xml:space="preserve">sporto ministro </w:t>
      </w:r>
    </w:p>
    <w:p w:rsidR="00DA6CBE" w:rsidRDefault="001F6BE0" w:rsidP="001F6BE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3261"/>
        <w:rPr>
          <w:szCs w:val="24"/>
        </w:rPr>
      </w:pPr>
      <w:r>
        <w:rPr>
          <w:szCs w:val="24"/>
        </w:rPr>
        <w:t xml:space="preserve">2025  m. </w:t>
      </w:r>
      <w:r>
        <w:rPr>
          <w:szCs w:val="24"/>
        </w:rPr>
        <w:t xml:space="preserve">sausio 15 </w:t>
      </w:r>
      <w:r>
        <w:rPr>
          <w:szCs w:val="24"/>
        </w:rPr>
        <w:t>d. įsakymu Nr. </w:t>
      </w:r>
      <w:r w:rsidRPr="001F6BE0">
        <w:rPr>
          <w:szCs w:val="24"/>
        </w:rPr>
        <w:t>V-31</w:t>
      </w:r>
    </w:p>
    <w:p w:rsidR="00DA6CBE" w:rsidRDefault="00DA6CBE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firstLine="4962"/>
        <w:rPr>
          <w:szCs w:val="24"/>
        </w:rPr>
      </w:pPr>
    </w:p>
    <w:p w:rsidR="00DA6CBE" w:rsidRDefault="00DA6CBE" w:rsidP="001F6BE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rPr>
          <w:szCs w:val="24"/>
        </w:rPr>
      </w:pPr>
    </w:p>
    <w:p w:rsidR="00DA6CBE" w:rsidRDefault="001F6BE0">
      <w:pPr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2025 METŲ BENDROJO PRIĖMIMO Į FORMALIOJO PROFESINIO MOKYMO PROGRAMAS TERMINAI </w:t>
      </w:r>
    </w:p>
    <w:p w:rsidR="00DA6CBE" w:rsidRDefault="00DA6CBE">
      <w:pPr>
        <w:overflowPunct w:val="0"/>
        <w:jc w:val="center"/>
        <w:textAlignment w:val="baseline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3887"/>
        <w:gridCol w:w="3380"/>
      </w:tblGrid>
      <w:tr w:rsidR="00DA6CBE" w:rsidTr="001F6BE0">
        <w:trPr>
          <w:trHeight w:val="693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Priėmimo etapo pavadinimas</w:t>
            </w:r>
          </w:p>
          <w:p w:rsidR="00DA6CBE" w:rsidRDefault="00DA6CBE">
            <w:pPr>
              <w:overflowPunct w:val="0"/>
              <w:ind w:firstLine="62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Veiksmai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ind w:right="-102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</w:tr>
      <w:tr w:rsidR="00DA6CBE" w:rsidTr="001F6BE0">
        <w:trPr>
          <w:trHeight w:val="693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tabs>
                <w:tab w:val="left" w:pos="173"/>
              </w:tabs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I. Pagrindinis priėmimas (žiemos etapas)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Stojančiųjų registracija ir prašymų mokytis pagal formaliojo profesinio mokymo programas (ar jų modulius) pateikimas, duomenų ir dokumentų pateikimas Lietuvos Respublikos švietimo, mokslo ir sporto ministro įgalioto</w:t>
            </w:r>
            <w:r>
              <w:rPr>
                <w:szCs w:val="24"/>
              </w:rPr>
              <w:t xml:space="preserve">s administruoti ir vykdyti bendrąjį priėmimą institucijos nurodytoje informacinėje sistemoje (toliau – Informacinė sistema) teisės aktų nustatyta tvarka. </w:t>
            </w:r>
          </w:p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Stojančiųjų informavimas apie tinkamumą pasirinktoms programoms.</w:t>
            </w:r>
          </w:p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Pageidavimų, kuriems stojantysis pri</w:t>
            </w:r>
            <w:r>
              <w:rPr>
                <w:szCs w:val="24"/>
              </w:rPr>
              <w:t>pažintas tinkamu, eiliškumo nustatymas.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vasario 5–13 d. </w:t>
            </w:r>
          </w:p>
        </w:tc>
      </w:tr>
      <w:tr w:rsidR="00DA6CBE" w:rsidTr="001F6BE0">
        <w:trPr>
          <w:trHeight w:val="296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Testų, jei taikomi, laikymas.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2025 m. vasario 5–12 d. </w:t>
            </w:r>
          </w:p>
        </w:tc>
      </w:tr>
      <w:tr w:rsidR="00DA6CBE" w:rsidTr="001F6BE0">
        <w:trPr>
          <w:trHeight w:val="445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Kvietimo mokytis pateikimas stojančiajam.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vasario 18 d.</w:t>
            </w:r>
          </w:p>
        </w:tc>
      </w:tr>
      <w:tr w:rsidR="00DA6CBE" w:rsidTr="001F6BE0"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Mokymo sutarčių su pakviestaisiais mokytis sudarymas profesinio </w:t>
            </w:r>
            <w:r>
              <w:rPr>
                <w:szCs w:val="24"/>
              </w:rPr>
              <w:t>mokymo įstaigose (žiemos etape sutartys nesudaromos nuotoliniu būdu).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DA6CBE">
            <w:pPr>
              <w:overflowPunct w:val="0"/>
              <w:ind w:right="-102"/>
              <w:textAlignment w:val="baseline"/>
              <w:rPr>
                <w:szCs w:val="24"/>
              </w:rPr>
            </w:pPr>
          </w:p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2025 m. vasario 19–20 d. </w:t>
            </w:r>
          </w:p>
        </w:tc>
      </w:tr>
      <w:tr w:rsidR="00DA6CBE" w:rsidTr="001F6BE0"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Kvietimo mokytis pateikimas stojančiajam į mokymo sutarties nesudariusiojo vietą.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2025 m. vasario 21 d. </w:t>
            </w:r>
          </w:p>
        </w:tc>
      </w:tr>
      <w:tr w:rsidR="00DA6CBE" w:rsidTr="001F6BE0"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Mokymo sutarčių sudarymas su pakviestaisiais </w:t>
            </w:r>
            <w:r>
              <w:rPr>
                <w:szCs w:val="24"/>
              </w:rPr>
              <w:t>mokytis į sutarčių nesudariusiųjų vietas profesinio mokymo įstaigose.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2025 m. vasario 24 d. </w:t>
            </w:r>
          </w:p>
        </w:tc>
      </w:tr>
      <w:tr w:rsidR="00DA6CBE" w:rsidTr="001F6BE0">
        <w:trPr>
          <w:trHeight w:val="1742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ind w:firstLine="62"/>
              <w:textAlignment w:val="baseline"/>
              <w:rPr>
                <w:szCs w:val="24"/>
              </w:rPr>
            </w:pPr>
          </w:p>
          <w:p w:rsidR="00DA6CBE" w:rsidRDefault="001F6BE0">
            <w:pPr>
              <w:tabs>
                <w:tab w:val="left" w:pos="173"/>
              </w:tabs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II. Pagrindinis priėmimas (vasaros etapas)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Stojančiųjų registracija ir prašymų mokytis pagal formaliojo profesinio mokymo programas (ar jų modulius) pateikimas, duomenų ir dokumentų pateikimas Informacinėje sistemoje teisės aktų nustatyta tvarka. </w:t>
            </w:r>
          </w:p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Stojančiųjų informavimas apie tinkamumą pasirinktom</w:t>
            </w:r>
            <w:r>
              <w:rPr>
                <w:szCs w:val="24"/>
              </w:rPr>
              <w:t>s programoms. Pageidavimų, kuriems stojantysis pripažintas tinkamu, eiliškumo nustatymas.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birželio 2 d. – rugpjūčio 4 d.</w:t>
            </w:r>
          </w:p>
          <w:p w:rsidR="00DA6CBE" w:rsidRDefault="00DA6CBE">
            <w:pPr>
              <w:overflowPunct w:val="0"/>
              <w:ind w:right="-102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329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Testų, jei taikomi, laikymas.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birželio 4 d. – liepos 31 d.</w:t>
            </w:r>
          </w:p>
        </w:tc>
      </w:tr>
      <w:tr w:rsidR="00DA6CBE" w:rsidTr="001F6BE0">
        <w:trPr>
          <w:trHeight w:val="277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Kvietimo mokytis pateikimas stojančiajam.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2025 m. rugpjūčio 6 d. </w:t>
            </w:r>
          </w:p>
        </w:tc>
      </w:tr>
      <w:tr w:rsidR="00DA6CBE" w:rsidTr="001F6BE0">
        <w:trPr>
          <w:trHeight w:val="768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Mokymo sutarčių su pakviestaisiais mokytis sudarymas profesinio mokymo įstaigose.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DA6CBE">
            <w:pPr>
              <w:overflowPunct w:val="0"/>
              <w:ind w:firstLine="62"/>
              <w:textAlignment w:val="baseline"/>
              <w:rPr>
                <w:szCs w:val="24"/>
              </w:rPr>
            </w:pPr>
          </w:p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7–11 d.</w:t>
            </w:r>
          </w:p>
          <w:p w:rsidR="00DA6CBE" w:rsidRDefault="00DA6CBE">
            <w:pPr>
              <w:overflowPunct w:val="0"/>
              <w:ind w:right="-102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693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Kvietimo mokytis pateikimas stojančiajam į mokymo sutarties nesudariusiojo vietą.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12 d</w:t>
            </w:r>
          </w:p>
          <w:p w:rsidR="00DA6CBE" w:rsidRDefault="00DA6CBE">
            <w:pPr>
              <w:shd w:val="clear" w:color="auto" w:fill="FFFFFF"/>
              <w:overflowPunct w:val="0"/>
              <w:ind w:right="-107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693"/>
        </w:trPr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Mokymo </w:t>
            </w:r>
            <w:r>
              <w:rPr>
                <w:szCs w:val="24"/>
              </w:rPr>
              <w:t>sutarčių sudarymas su pakviestaisiais mokytis į sutarčių nesudariusiųjų vietas profesinio mokymo įstaigose.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DA6CBE">
            <w:pPr>
              <w:overflowPunct w:val="0"/>
              <w:textAlignment w:val="baseline"/>
              <w:rPr>
                <w:szCs w:val="24"/>
              </w:rPr>
            </w:pPr>
          </w:p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13 d.</w:t>
            </w:r>
          </w:p>
          <w:p w:rsidR="00DA6CBE" w:rsidRDefault="00DA6CBE">
            <w:pPr>
              <w:shd w:val="clear" w:color="auto" w:fill="FFFFFF"/>
              <w:overflowPunct w:val="0"/>
              <w:ind w:right="-107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693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ind w:firstLine="62"/>
              <w:textAlignment w:val="baseline"/>
              <w:rPr>
                <w:szCs w:val="24"/>
              </w:rPr>
            </w:pPr>
          </w:p>
          <w:p w:rsidR="00DA6CBE" w:rsidRDefault="00DA6CBE">
            <w:pPr>
              <w:overflowPunct w:val="0"/>
              <w:ind w:firstLine="62"/>
              <w:textAlignment w:val="baseline"/>
              <w:rPr>
                <w:szCs w:val="24"/>
              </w:rPr>
            </w:pPr>
          </w:p>
          <w:p w:rsidR="00DA6CBE" w:rsidRDefault="001F6BE0">
            <w:pPr>
              <w:tabs>
                <w:tab w:val="left" w:pos="173"/>
              </w:tabs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III. Papildomas priėmimas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Stojančiųjų registracija ir prašymų mokytis pagal formaliojo profesinio mokymo programas (ar jų modulius) pateikimas, duomenų ir dokumentų pateikimas Informacinėje sistemoje teisės aktų nustatyta tvarka. </w:t>
            </w:r>
          </w:p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Stojančiųjų informavimas apie tinkamumą pasirinktom</w:t>
            </w:r>
            <w:r>
              <w:rPr>
                <w:szCs w:val="24"/>
              </w:rPr>
              <w:t>s programoms.</w:t>
            </w:r>
          </w:p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Pageidavimų, kuriems stojantysis pripažintas tinkamu, eiliškumo nustatymas.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DA6CBE">
            <w:pPr>
              <w:shd w:val="clear" w:color="auto" w:fill="FFFFFF"/>
              <w:overflowPunct w:val="0"/>
              <w:ind w:right="-107" w:firstLine="62"/>
              <w:textAlignment w:val="baseline"/>
              <w:rPr>
                <w:szCs w:val="24"/>
              </w:rPr>
            </w:pPr>
          </w:p>
          <w:p w:rsidR="00DA6CBE" w:rsidRDefault="001F6BE0">
            <w:pPr>
              <w:shd w:val="clear" w:color="auto" w:fill="FFFFFF"/>
              <w:overflowPunct w:val="0"/>
              <w:ind w:right="-107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14–21 d.</w:t>
            </w:r>
          </w:p>
          <w:p w:rsidR="00DA6CBE" w:rsidRDefault="00DA6CBE">
            <w:pPr>
              <w:shd w:val="clear" w:color="auto" w:fill="FFFFFF"/>
              <w:overflowPunct w:val="0"/>
              <w:ind w:right="-107"/>
              <w:textAlignment w:val="baseline"/>
              <w:rPr>
                <w:szCs w:val="24"/>
              </w:rPr>
            </w:pPr>
          </w:p>
          <w:p w:rsidR="00DA6CBE" w:rsidRDefault="00DA6CBE">
            <w:pPr>
              <w:shd w:val="clear" w:color="auto" w:fill="FFFFFF"/>
              <w:overflowPunct w:val="0"/>
              <w:ind w:right="-107"/>
              <w:textAlignment w:val="baseline"/>
              <w:rPr>
                <w:szCs w:val="24"/>
              </w:rPr>
            </w:pPr>
          </w:p>
        </w:tc>
      </w:tr>
      <w:tr w:rsidR="00DA6CBE" w:rsidTr="001F6BE0"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Testų, jei taikomi, laikymas.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18–20 d.</w:t>
            </w:r>
          </w:p>
        </w:tc>
      </w:tr>
      <w:tr w:rsidR="00DA6CBE" w:rsidTr="001F6BE0"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Kvietimo mokytis pateikimas stojančiajam.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25 d.</w:t>
            </w:r>
          </w:p>
        </w:tc>
      </w:tr>
      <w:tr w:rsidR="00DA6CBE" w:rsidTr="001F6BE0">
        <w:trPr>
          <w:trHeight w:val="923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DA6CBE">
            <w:pPr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BE" w:rsidRDefault="001F6BE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Mokymo </w:t>
            </w:r>
            <w:r>
              <w:rPr>
                <w:szCs w:val="24"/>
              </w:rPr>
              <w:t>sutarčių su pakviestaisiais mokytis sudarymas profesinio mokymo įstaigose.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26–27 d.</w:t>
            </w:r>
          </w:p>
        </w:tc>
      </w:tr>
      <w:tr w:rsidR="00DA6CBE" w:rsidTr="001F6BE0">
        <w:trPr>
          <w:trHeight w:val="693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Kvietimo mokytis pateikimas stojančiajam į mokymo sutarties nesudariusiojo vietą.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28 d.</w:t>
            </w:r>
          </w:p>
          <w:p w:rsidR="00DA6CBE" w:rsidRDefault="00DA6CBE">
            <w:pPr>
              <w:overflowPunct w:val="0"/>
              <w:ind w:right="-102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693"/>
        </w:trPr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DA6CBE">
            <w:pPr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Mokymo sutarčių sudarymas su </w:t>
            </w:r>
            <w:r>
              <w:rPr>
                <w:szCs w:val="24"/>
              </w:rPr>
              <w:t>pakviestaisiais mokytis į sutarčių nesudariusiųjų vietas profesinio mokymo įstaigose.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-102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rugpjūčio 29 d.</w:t>
            </w:r>
          </w:p>
          <w:p w:rsidR="00DA6CBE" w:rsidRDefault="00DA6CBE">
            <w:pPr>
              <w:overflowPunct w:val="0"/>
              <w:ind w:right="-102"/>
              <w:textAlignment w:val="baseline"/>
              <w:rPr>
                <w:szCs w:val="24"/>
              </w:rPr>
            </w:pPr>
          </w:p>
        </w:tc>
      </w:tr>
      <w:tr w:rsidR="00DA6CBE" w:rsidTr="001F6BE0">
        <w:trPr>
          <w:trHeight w:val="355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textAlignment w:val="baseline"/>
              <w:rPr>
                <w:szCs w:val="24"/>
              </w:rPr>
            </w:pPr>
            <w:r>
              <w:rPr>
                <w:szCs w:val="24"/>
              </w:rPr>
              <w:t>IV. Laisvų valstybės finansuojamų ar nefinansuojamų vietų užpildymas prasidėjus mokymo procesui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BE" w:rsidRDefault="001F6BE0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Prašymų mokytis pagal formaliojo profesinio </w:t>
            </w:r>
            <w:r>
              <w:rPr>
                <w:szCs w:val="24"/>
              </w:rPr>
              <w:t>mokymo programas (ar jų modulius) pateikimas, sprendimų priėmimas, mokymo sutarčių pasirašymas.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CBE" w:rsidRDefault="001F6BE0">
            <w:pPr>
              <w:overflowPunct w:val="0"/>
              <w:ind w:right="31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2025 m. rugsėjo 2 d. – spalio 31 d. pagal švietimo, mokslo ir sporto ministro įgaliotos administruoti ir vykdyti bendrąjį priėmimą institucijos sudarytą ir Info</w:t>
            </w:r>
            <w:r>
              <w:rPr>
                <w:szCs w:val="24"/>
              </w:rPr>
              <w:t>rmacinėje sistemoje paskelbtą tvarkaraštį (pakaitomis skiriant vieną savaitę prašymams registruoti, kitą savaitę – prašymams nagrinėti ir sprendimui priimti bei priėmimo sistemai parengti naujam priėmimo etapui).</w:t>
            </w:r>
          </w:p>
          <w:p w:rsidR="00DA6CBE" w:rsidRDefault="001F6BE0">
            <w:pPr>
              <w:overflowPunct w:val="0"/>
              <w:ind w:right="31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Mokymo sutartys pasirašomos kas antrą treči</w:t>
            </w:r>
            <w:r>
              <w:rPr>
                <w:szCs w:val="24"/>
              </w:rPr>
              <w:t>adienį arba artimiausią darbo dieną po oficialios šventės dienos.</w:t>
            </w:r>
          </w:p>
        </w:tc>
      </w:tr>
    </w:tbl>
    <w:p w:rsidR="00DA6CBE" w:rsidRDefault="001F6BE0">
      <w:pPr>
        <w:overflowPunct w:val="0"/>
        <w:jc w:val="center"/>
        <w:textAlignment w:val="baseline"/>
        <w:rPr>
          <w:rFonts w:ascii="HelveticaLT" w:hAnsi="HelveticaLT"/>
          <w:sz w:val="20"/>
        </w:rPr>
      </w:pPr>
      <w:r>
        <w:rPr>
          <w:rFonts w:ascii="HelveticaLT" w:hAnsi="HelveticaLT"/>
          <w:sz w:val="20"/>
        </w:rPr>
        <w:t>_______</w:t>
      </w:r>
      <w:bookmarkStart w:id="0" w:name="_GoBack"/>
      <w:bookmarkEnd w:id="0"/>
      <w:r>
        <w:rPr>
          <w:rFonts w:ascii="HelveticaLT" w:hAnsi="HelveticaLT"/>
          <w:sz w:val="20"/>
        </w:rPr>
        <w:t>_________</w:t>
      </w:r>
    </w:p>
    <w:sectPr w:rsidR="00DA6CBE">
      <w:pgSz w:w="11906" w:h="16838"/>
      <w:pgMar w:top="1440" w:right="1440" w:bottom="1440" w:left="1440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BE" w:rsidRDefault="001F6BE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DA6CBE" w:rsidRDefault="001F6BE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BE" w:rsidRDefault="001F6BE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DA6CBE" w:rsidRDefault="001F6BE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1F6BE0">
    <w:pPr>
      <w:tabs>
        <w:tab w:val="center" w:pos="4513"/>
        <w:tab w:val="right" w:pos="9026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sz w:val="20"/>
        <w:lang w:val="en-GB"/>
      </w:rPr>
      <w:t>2</w:t>
    </w:r>
  </w:p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E" w:rsidRDefault="00DA6CBE">
    <w:pPr>
      <w:tabs>
        <w:tab w:val="center" w:pos="4513"/>
        <w:tab w:val="right" w:pos="9026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2"/>
    <w:rsid w:val="001F6BE0"/>
    <w:rsid w:val="00265C32"/>
    <w:rsid w:val="00D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E15"/>
  <w15:chartTrackingRefBased/>
  <w15:docId w15:val="{A1E22E15-4963-4BDB-A290-1C3815D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F6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00AF83C-5B65-411B-8D27-6607FFC469E7}"/>
      </w:docPartPr>
      <w:docPartBody>
        <w:p w:rsidR="00000000" w:rsidRDefault="00192BEA">
          <w:r w:rsidRPr="00016D96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EA"/>
    <w:rsid w:val="001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92B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3055</Words>
  <Characters>1742</Characters>
  <Application>Microsoft Office Word</Application>
  <DocSecurity>0</DocSecurity>
  <Lines>14</Lines>
  <Paragraphs>9</Paragraphs>
  <ScaleCrop>false</ScaleCrop>
  <Company/>
  <LinksUpToDate>false</LinksUpToDate>
  <CharactersWithSpaces>4788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2025-01-15T06:19:00Z</dcterms:created>
  <dc:creator>Zabietienė Jolanta | ŠMSM</dc:creator>
  <lastModifiedBy>GUMBYTĖ Danguolė</lastModifiedBy>
  <dcterms:modified xsi:type="dcterms:W3CDTF">2025-01-15T06:45:00Z</dcterms:modified>
  <revision>3</revision>
</coreProperties>
</file>